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pPr>
      <w:r>
        <w:rPr>
          <w:b/>
          <w:bCs/>
          <w:color w:val="3A2F3B"/>
          <w:sz w:val="32"/>
          <w:szCs w:val="32"/>
        </w:rPr>
        <w:t xml:space="preserve">Après une séparation : les démarches</w:t>
      </w:r>
    </w:p>
    <w:p>
      <w:pPr>
        <w:spacing w:after="60" w:line="300"/>
      </w:pPr>
      <w:r>
        <w:rPr>
          <w:i w:val="false"/>
          <w:iCs w:val="false"/>
          <w:color w:val="3A2F3B"/>
          <w:sz w:val="26"/>
          <w:szCs w:val="26"/>
        </w:rPr>
        <w:t xml:space="preserve">Belgique</w:t>
      </w:r>
    </w:p>
    <w:p>
      <w:pPr>
        <w:spacing w:after="300" w:line="300"/>
      </w:pPr>
      <w:r>
        <w:rPr>
          <w:i w:val="false"/>
          <w:iCs w:val="false"/>
          <w:color w:val="5C5460"/>
          <w:sz w:val="20"/>
          <w:szCs w:val="20"/>
        </w:rPr>
        <w:t xml:space="preserve">Dans l'ordre chronologique réel, pour ne rien oublier un soir où on n'a pas la tête à ça. Cochez au fur et à mesure.</w:t>
      </w:r>
    </w:p>
    <w:p>
      <w:pPr>
        <w:pStyle w:val="Heading2"/>
        <w:spacing w:after="110" w:before="320"/>
      </w:pPr>
      <w:r>
        <w:rPr>
          <w:b/>
          <w:bCs/>
          <w:color w:val="3A2F3B"/>
          <w:sz w:val="24"/>
          <w:szCs w:val="24"/>
        </w:rPr>
        <w:t xml:space="preserve">Dans les premiers jours</w:t>
      </w:r>
    </w:p>
    <w:p>
      <w:pPr>
        <w:spacing w:after="120" w:line="300"/>
        <w:ind w:left="360" w:hanging="360"/>
      </w:pPr>
      <w:r>
        <w:rPr>
          <w:sz w:val="24"/>
          <w:szCs w:val="24"/>
        </w:rPr>
        <w:t xml:space="preserve">☐   </w:t>
      </w:r>
      <w:r>
        <w:rPr>
          <w:sz w:val="22"/>
          <w:szCs w:val="22"/>
        </w:rPr>
        <w:t xml:space="preserve">Déclarer le changement de résidence à votre commune. C'est l'étape qui, via la Banque Carrefour de la Sécurité Sociale, informe automatiquement la plupart des organismes sociaux.</w:t>
      </w:r>
    </w:p>
    <w:p>
      <w:pPr>
        <w:spacing w:after="120" w:line="300"/>
        <w:ind w:left="360" w:hanging="360"/>
      </w:pPr>
      <w:r>
        <w:rPr>
          <w:sz w:val="24"/>
          <w:szCs w:val="24"/>
        </w:rPr>
        <w:t xml:space="preserve">☐   </w:t>
      </w:r>
      <w:r>
        <w:rPr>
          <w:sz w:val="22"/>
          <w:szCs w:val="22"/>
        </w:rPr>
        <w:t xml:space="preserve">Allocations familiales : en autorité parentale conjointe, aucune démarche n'est généralement nécessaire, la caisse est informée par la commune. Si l'enfant change de domicile principal, le parent qui l'accueille peut demander par écrit à devenir allocataire. En autorité parentale exclusive, envoyez immédiatement une copie complète du jugement à la caisse : les allocations sont dues à partir du mois qui suit la réception.</w:t>
      </w:r>
    </w:p>
    <w:p>
      <w:pPr>
        <w:pStyle w:val="Heading2"/>
        <w:spacing w:after="110" w:before="320"/>
      </w:pPr>
      <w:r>
        <w:rPr>
          <w:b/>
          <w:bCs/>
          <w:color w:val="3A2F3B"/>
          <w:sz w:val="24"/>
          <w:szCs w:val="24"/>
        </w:rPr>
        <w:t xml:space="preserve">Dans les premières semaines</w:t>
      </w:r>
    </w:p>
    <w:p>
      <w:pPr>
        <w:spacing w:after="120" w:line="300"/>
        <w:ind w:left="360" w:hanging="360"/>
      </w:pPr>
      <w:r>
        <w:rPr>
          <w:sz w:val="24"/>
          <w:szCs w:val="24"/>
        </w:rPr>
        <w:t xml:space="preserve">☐   </w:t>
      </w:r>
      <w:r>
        <w:rPr>
          <w:sz w:val="22"/>
          <w:szCs w:val="22"/>
        </w:rPr>
        <w:t xml:space="preserve">Si la pension n'est pas payée : le SECAL, au SPF Finances, peut avancer une partie de la pension impayée et se charger de la récupérer.</w:t>
      </w:r>
    </w:p>
    <w:p>
      <w:pPr>
        <w:spacing w:after="120" w:line="300"/>
        <w:ind w:left="360" w:hanging="360"/>
      </w:pPr>
      <w:r>
        <w:rPr>
          <w:sz w:val="24"/>
          <w:szCs w:val="24"/>
        </w:rPr>
        <w:t xml:space="preserve">☐   </w:t>
      </w:r>
      <w:r>
        <w:rPr>
          <w:sz w:val="22"/>
          <w:szCs w:val="22"/>
        </w:rPr>
        <w:t xml:space="preserve">Ouvrir un compte individuel et séparer les comptes joints.</w:t>
      </w:r>
    </w:p>
    <w:p>
      <w:pPr>
        <w:spacing w:after="120" w:line="300"/>
        <w:ind w:left="360" w:hanging="360"/>
      </w:pPr>
      <w:r>
        <w:rPr>
          <w:sz w:val="24"/>
          <w:szCs w:val="24"/>
        </w:rPr>
        <w:t xml:space="preserve">☐   </w:t>
      </w:r>
      <w:r>
        <w:rPr>
          <w:sz w:val="22"/>
          <w:szCs w:val="22"/>
        </w:rPr>
        <w:t xml:space="preserve">Informer la mutuelle du changement de situation et vérifier le rattachement des enfants.</w:t>
      </w:r>
    </w:p>
    <w:p>
      <w:pPr>
        <w:pStyle w:val="Heading2"/>
        <w:spacing w:after="110" w:before="320"/>
      </w:pPr>
      <w:r>
        <w:rPr>
          <w:b/>
          <w:bCs/>
          <w:color w:val="3A2F3B"/>
          <w:sz w:val="24"/>
          <w:szCs w:val="24"/>
        </w:rPr>
        <w:t xml:space="preserve">La démarche juridique</w:t>
      </w:r>
    </w:p>
    <w:p>
      <w:pPr>
        <w:spacing w:after="120" w:line="300"/>
        <w:ind w:left="360" w:hanging="360"/>
      </w:pPr>
      <w:r>
        <w:rPr>
          <w:sz w:val="24"/>
          <w:szCs w:val="24"/>
        </w:rPr>
        <w:t xml:space="preserve">☐   </w:t>
      </w:r>
      <w:r>
        <w:rPr>
          <w:sz w:val="22"/>
          <w:szCs w:val="22"/>
        </w:rPr>
        <w:t xml:space="preserve">Faire homologuer une convention — hébergement, autorité parentale, contribution — auprès du tribunal de la famille.</w:t>
      </w:r>
    </w:p>
    <w:p>
      <w:pPr>
        <w:spacing w:after="120" w:line="300"/>
        <w:ind w:left="360" w:hanging="360"/>
      </w:pPr>
      <w:r>
        <w:rPr>
          <w:sz w:val="24"/>
          <w:szCs w:val="24"/>
        </w:rPr>
        <w:t xml:space="preserve">☐   </w:t>
      </w:r>
      <w:r>
        <w:rPr>
          <w:sz w:val="22"/>
          <w:szCs w:val="22"/>
        </w:rPr>
        <w:t xml:space="preserve">En cas de désaccord : saisine du tribunal de la famille, avocat recommandé.</w:t>
      </w:r>
    </w:p>
    <w:p>
      <w:pPr>
        <w:pStyle w:val="Heading2"/>
        <w:spacing w:after="110" w:before="320"/>
      </w:pPr>
      <w:r>
        <w:rPr>
          <w:b/>
          <w:bCs/>
          <w:color w:val="3A2F3B"/>
          <w:sz w:val="24"/>
          <w:szCs w:val="24"/>
        </w:rPr>
        <w:t xml:space="preserve">À vérifier auprès de l’organisme</w:t>
      </w:r>
    </w:p>
    <w:p>
      <w:pPr>
        <w:spacing w:after="110"/>
      </w:pPr>
      <w:r>
        <w:rPr>
          <w:i/>
          <w:iCs/>
          <w:color w:val="5C5460"/>
          <w:sz w:val="20"/>
          <w:szCs w:val="20"/>
        </w:rPr>
        <w:t xml:space="preserve">—  Les conditions d'accès au SECAL — plafond de revenus, nombre de mois d'impayé, montant maximal avancé. La page officielle du SPF Finances affiche encore un plafond de revenus que plusieurs sources juridiques disent supprimé depuis le 1er juin 2020 : cette contradiction n'est pas tranchée, vérifiez directement auprès du SECAL.</w:t>
      </w:r>
    </w:p>
    <w:p>
      <w:pPr>
        <w:spacing w:after="110"/>
      </w:pPr>
      <w:r>
        <w:rPr>
          <w:i/>
          <w:iCs/>
          <w:color w:val="5C5460"/>
          <w:sz w:val="20"/>
          <w:szCs w:val="20"/>
        </w:rPr>
        <w:t xml:space="preserve">—  Le délai de traitement d'une demande au SECAL.</w:t>
      </w:r>
    </w:p>
    <w:p>
      <w:pPr>
        <w:spacing w:after="110"/>
      </w:pPr>
      <w:r>
        <w:rPr>
          <w:i/>
          <w:iCs/>
          <w:color w:val="5C5460"/>
          <w:sz w:val="20"/>
          <w:szCs w:val="20"/>
        </w:rPr>
        <w:t xml:space="preserve">—  Les démarches en Région flamande (Groeipakket), qui suivent des règles propres.</w:t>
      </w:r>
    </w:p>
    <w:p>
      <w:pPr>
        <w:pBdr>
          <w:top w:val="single" w:color="C9BFC9" w:sz="6" w:space="10"/>
        </w:pBdr>
        <w:spacing w:after="120" w:before="360"/>
      </w:pPr>
      <w:r>
        <w:rPr>
          <w:color w:val="5C5460"/>
          <w:sz w:val="18"/>
          <w:szCs w:val="18"/>
        </w:rPr>
        <w:t xml:space="preserve">Les seuils, formulaires et délais changent chaque année. Ceux qui figurent ici ont été vérifiés à la date indiquée sur le site. Vérifiez auprès de l’organisme avant toute démarche qui engage.</w:t>
      </w:r>
    </w:p>
    <w:p>
      <w:pPr>
        <w:spacing w:before="200"/>
        <w:jc w:val="center"/>
      </w:pPr>
      <w:r>
        <w:rPr>
          <w:color w:val="8A8090"/>
          <w:sz w:val="16"/>
          <w:szCs w:val="16"/>
        </w:rPr>
        <w:t xml:space="preserve">Parents Solo — parentsolo.dyonysos.fr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2026-09-11T02:13:00.912Z</dcterms:created>
  <dcterms:modified xsi:type="dcterms:W3CDTF">2026-09-11T02:13:00.912Z</dcterms:modified>
</cp:coreProperties>
</file>

<file path=docProps/custom.xml><?xml version="1.0" encoding="utf-8"?>
<Properties xmlns="http://schemas.openxmlformats.org/officeDocument/2006/custom-properties" xmlns:vt="http://schemas.openxmlformats.org/officeDocument/2006/docPropsVTypes"/>
</file>